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766647F3" w:rsidR="00DC6D0C" w:rsidRPr="003823BE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823BE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3823BE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AF63B8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12EB2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AF63B8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F12EB2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A743604" w14:textId="665B3D8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12EB2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F12EB2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ADC90B9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Metody oceny kondycji finansowej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3E1B3576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FIR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/II/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RIA</w:t>
            </w:r>
            <w:r w:rsidR="00260CAB" w:rsidRPr="00260CAB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/C.</w:t>
            </w:r>
            <w:r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eastAsia="pl-PL"/>
              </w:rPr>
              <w:t>6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1066879" w:rsidR="0085747A" w:rsidRPr="009C54AE" w:rsidRDefault="00B10F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A2BF722" w:rsidR="0085747A" w:rsidRPr="009C54AE" w:rsidRDefault="002370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ACE8E60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938C2F4" w:rsidR="0085747A" w:rsidRPr="009C54AE" w:rsidRDefault="00447A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39D9171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260CA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0438361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0F41F1D" w:rsidR="0085747A" w:rsidRPr="009C54AE" w:rsidRDefault="00260C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60CA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823FDE" w14:textId="6FDF9A2E" w:rsidR="009F7A74" w:rsidRDefault="002370E2" w:rsidP="00AF63B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Anna Kowal</w:t>
            </w:r>
          </w:p>
          <w:p w14:paraId="6B6685C9" w14:textId="34479A6B" w:rsidR="002370E2" w:rsidRPr="009C54AE" w:rsidRDefault="002370E2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30846868" w:rsidR="003823BE" w:rsidRPr="00161AB3" w:rsidRDefault="00260CAB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D7EBC7E" w:rsidR="003823BE" w:rsidRPr="00161AB3" w:rsidRDefault="00D412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03CF5C" w:rsidR="003823BE" w:rsidRPr="00161AB3" w:rsidRDefault="00D412F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ED08AF" w:rsidR="003823BE" w:rsidRPr="003823BE" w:rsidRDefault="009F7A74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681BF4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A943A66" w14:textId="77777777" w:rsidR="00AF63B8" w:rsidRPr="009C54AE" w:rsidRDefault="00AF63B8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F49D623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EA8EF48" w14:textId="77777777" w:rsidR="00AF63B8" w:rsidRPr="009C54AE" w:rsidRDefault="00AF63B8" w:rsidP="00AF63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6E03E9" w14:textId="0ADDDD5B" w:rsidR="00E1719D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2E216F">
        <w:rPr>
          <w:rFonts w:ascii="Corbel" w:hAnsi="Corbel"/>
          <w:b w:val="0"/>
          <w:smallCaps w:val="0"/>
          <w:szCs w:val="24"/>
        </w:rPr>
        <w:t>Egzamin</w:t>
      </w:r>
    </w:p>
    <w:p w14:paraId="7C81ACCB" w14:textId="508FAC22" w:rsidR="00260CAB" w:rsidRPr="00091D88" w:rsidRDefault="00260CAB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Zaliczenie na ocenę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6A183C2D" w:rsidR="0085747A" w:rsidRPr="009C54AE" w:rsidRDefault="00260CAB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60C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finansów przedsiębiorstwa, analizy finansowej oraz z rachunkowości finansowej. Ponadto wymagana jest znajomość aktualnych wydarzeń ze sfery biznesu i gospodarki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60CAB" w:rsidRPr="00161AB3" w14:paraId="1EC7B4FC" w14:textId="77777777" w:rsidTr="00C30D61">
        <w:tc>
          <w:tcPr>
            <w:tcW w:w="845" w:type="dxa"/>
            <w:vAlign w:val="center"/>
          </w:tcPr>
          <w:p w14:paraId="3DB1963B" w14:textId="6051CABF" w:rsidR="00260CAB" w:rsidRPr="00161AB3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60DD2455" w14:textId="59D7CD58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Zapoznanie studentów z kategoriami, prawami i metodą  oraz narzędziami analizy ekonomiczno-finansowej.</w:t>
            </w:r>
          </w:p>
        </w:tc>
      </w:tr>
      <w:tr w:rsidR="00260CAB" w:rsidRPr="00161AB3" w14:paraId="06F23D20" w14:textId="77777777" w:rsidTr="00C30D61">
        <w:tc>
          <w:tcPr>
            <w:tcW w:w="845" w:type="dxa"/>
            <w:vAlign w:val="center"/>
          </w:tcPr>
          <w:p w14:paraId="6E76F4CC" w14:textId="22AE7AA1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649A1A5D" w14:textId="02E56486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oceny i interpretacji danych mikro i 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260CAB" w:rsidRPr="00161AB3" w14:paraId="3CE0DB42" w14:textId="77777777" w:rsidTr="00C30D61">
        <w:tc>
          <w:tcPr>
            <w:tcW w:w="845" w:type="dxa"/>
            <w:vAlign w:val="center"/>
          </w:tcPr>
          <w:p w14:paraId="36409B84" w14:textId="354E162A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79AE8C6" w14:textId="0FB5068E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260CAB" w:rsidRPr="00161AB3" w14:paraId="1964428C" w14:textId="77777777" w:rsidTr="00C30D61">
        <w:tc>
          <w:tcPr>
            <w:tcW w:w="845" w:type="dxa"/>
            <w:vAlign w:val="center"/>
          </w:tcPr>
          <w:p w14:paraId="4E5A8CF2" w14:textId="2EC93008" w:rsidR="00260CAB" w:rsidRPr="003823BE" w:rsidRDefault="00260CAB" w:rsidP="00260CA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72C6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02DDFDF5" w14:textId="77447074" w:rsidR="00260CAB" w:rsidRPr="002E216F" w:rsidRDefault="00260CAB" w:rsidP="00260CA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72C62">
              <w:rPr>
                <w:rFonts w:ascii="Corbel" w:hAnsi="Corbel" w:cs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60CAB" w:rsidRPr="00091D88" w14:paraId="76324132" w14:textId="77777777" w:rsidTr="00C31456">
        <w:tc>
          <w:tcPr>
            <w:tcW w:w="1679" w:type="dxa"/>
          </w:tcPr>
          <w:p w14:paraId="3EA3AECA" w14:textId="74C9B2FC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36E4BF4F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008C16D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 xml:space="preserve">K_W05 </w:t>
            </w:r>
          </w:p>
          <w:p w14:paraId="1954E11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K_W07</w:t>
            </w:r>
          </w:p>
          <w:p w14:paraId="684CF96A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K_W08</w:t>
            </w:r>
          </w:p>
          <w:p w14:paraId="4E88EE7E" w14:textId="1734813F" w:rsidR="00260CAB" w:rsidRPr="00260CAB" w:rsidRDefault="00260CAB" w:rsidP="00260CAB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60CAB" w:rsidRPr="00091D88" w14:paraId="175FF883" w14:textId="77777777" w:rsidTr="00C31456">
        <w:tc>
          <w:tcPr>
            <w:tcW w:w="1679" w:type="dxa"/>
          </w:tcPr>
          <w:p w14:paraId="00FC0AD0" w14:textId="5682E2CD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6037738D" w14:textId="3A2B08B6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Umie wykorzystać wiedzę teoretyczną dotyczącą finansów przedsiębiorstw w praktyce, przewiduje konsekwencje zmian w otoczeniu makroekonomicznym i społecznym dla finansów przedsiębiorstw, przedstawia opinię na temat powiązań finansowych występujących w przedsiębiorstwie, potrafi pozyskiwać i analizować dane finansowe przedsiębiorstwa, potrafi wykorzystać zdobytą wiedzę na temat kondycji finansowej podmiotu w procesie poszukiwania optymalnych sposobów jej poprawy w przyszłości</w:t>
            </w:r>
          </w:p>
        </w:tc>
        <w:tc>
          <w:tcPr>
            <w:tcW w:w="1865" w:type="dxa"/>
          </w:tcPr>
          <w:p w14:paraId="52C8B970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</w:p>
          <w:p w14:paraId="797EE529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K_U03</w:t>
            </w:r>
          </w:p>
          <w:p w14:paraId="142A502E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K_U06</w:t>
            </w:r>
          </w:p>
          <w:p w14:paraId="4AA0D6DF" w14:textId="3652B8F9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K_U07</w:t>
            </w:r>
          </w:p>
        </w:tc>
      </w:tr>
      <w:tr w:rsidR="00260CAB" w:rsidRPr="00091D88" w14:paraId="54095297" w14:textId="77777777" w:rsidTr="00997ABE">
        <w:tc>
          <w:tcPr>
            <w:tcW w:w="1679" w:type="dxa"/>
          </w:tcPr>
          <w:p w14:paraId="57CD88B7" w14:textId="7F003003" w:rsidR="00260CAB" w:rsidRPr="00091D88" w:rsidRDefault="00260CAB" w:rsidP="00260C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6C52B211" w:rsidR="00260CAB" w:rsidRP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Corbel"/>
                <w:sz w:val="24"/>
                <w:szCs w:val="24"/>
              </w:rPr>
            </w:pPr>
            <w:r w:rsidRPr="00260CAB">
              <w:rPr>
                <w:rFonts w:ascii="Corbel" w:eastAsia="Times New Roman" w:hAnsi="Corbel" w:cs="Corbel"/>
                <w:sz w:val="24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finansów przedsiębiorstwa.</w:t>
            </w:r>
          </w:p>
        </w:tc>
        <w:tc>
          <w:tcPr>
            <w:tcW w:w="1865" w:type="dxa"/>
          </w:tcPr>
          <w:p w14:paraId="357F747C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K_K01</w:t>
            </w:r>
          </w:p>
          <w:p w14:paraId="75A49787" w14:textId="77777777" w:rsidR="00260CAB" w:rsidRPr="00260CAB" w:rsidRDefault="00260CAB" w:rsidP="00260CAB">
            <w:pPr>
              <w:pStyle w:val="Default"/>
              <w:rPr>
                <w:rFonts w:ascii="Corbel" w:hAnsi="Corbel" w:cs="Corbel"/>
                <w:color w:val="auto"/>
              </w:rPr>
            </w:pPr>
            <w:r w:rsidRPr="00260CAB">
              <w:rPr>
                <w:rFonts w:ascii="Corbel" w:hAnsi="Corbel" w:cs="Corbel"/>
                <w:color w:val="auto"/>
              </w:rPr>
              <w:t>K_K02</w:t>
            </w:r>
          </w:p>
          <w:p w14:paraId="4662B6BD" w14:textId="4656181E" w:rsidR="00260CAB" w:rsidRPr="00260CAB" w:rsidRDefault="00260CAB" w:rsidP="00260CA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542C8A3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448DF1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32558E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FD24AD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161AB3" w14:paraId="201CA313" w14:textId="77777777" w:rsidTr="00CA4CA8">
        <w:tc>
          <w:tcPr>
            <w:tcW w:w="9520" w:type="dxa"/>
          </w:tcPr>
          <w:p w14:paraId="2E7380B0" w14:textId="4FC2F3B5" w:rsidR="00260CAB" w:rsidRPr="00FD24AD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Klasyfikacja syntetycznych metod oceny kondycji finansowej przedsiębiorstwa.</w:t>
            </w:r>
          </w:p>
        </w:tc>
      </w:tr>
      <w:tr w:rsidR="00260CAB" w:rsidRPr="00161AB3" w14:paraId="18A55654" w14:textId="77777777" w:rsidTr="00CA4CA8">
        <w:tc>
          <w:tcPr>
            <w:tcW w:w="9520" w:type="dxa"/>
          </w:tcPr>
          <w:p w14:paraId="06F8FA41" w14:textId="050C5461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dyskryminacyjne w ocenie kondycji finansowej przedsiębiorstwa (modele T. Korola, T. Maślanki oraz A. Hołdy – wariant modeli sektorowych).</w:t>
            </w:r>
          </w:p>
        </w:tc>
      </w:tr>
      <w:tr w:rsidR="00260CAB" w:rsidRPr="00161AB3" w14:paraId="0059C3FD" w14:textId="77777777" w:rsidTr="00CA4CA8">
        <w:tc>
          <w:tcPr>
            <w:tcW w:w="9520" w:type="dxa"/>
          </w:tcPr>
          <w:p w14:paraId="159B42AE" w14:textId="450DB6C0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Metody logitowe w ocenie kondycji finansowej przedsiębiorstwa (modele M. Gruszczyńskiego, R. Jagiełło oraz A. Hołdy – wariant modeli sektorowych).</w:t>
            </w:r>
          </w:p>
        </w:tc>
      </w:tr>
      <w:tr w:rsidR="00260CAB" w:rsidRPr="00161AB3" w14:paraId="58D2477E" w14:textId="77777777" w:rsidTr="00CA4CA8">
        <w:tc>
          <w:tcPr>
            <w:tcW w:w="9520" w:type="dxa"/>
          </w:tcPr>
          <w:p w14:paraId="396E557C" w14:textId="3A28AF5A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PKO BP.</w:t>
            </w:r>
          </w:p>
        </w:tc>
      </w:tr>
      <w:tr w:rsidR="00260CAB" w:rsidRPr="00161AB3" w14:paraId="6B680C52" w14:textId="77777777" w:rsidTr="00CA4CA8">
        <w:tc>
          <w:tcPr>
            <w:tcW w:w="9520" w:type="dxa"/>
          </w:tcPr>
          <w:p w14:paraId="227E895A" w14:textId="45DBF419" w:rsidR="00260CAB" w:rsidRDefault="00260CAB" w:rsidP="00260CA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Zmodyfikowana punktowa metoda oceny kondycji finansowej – na przykładzie metody Banku Ochrony Środowiska S.A.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0CAB" w:rsidRPr="009C54AE" w14:paraId="52C24D11" w14:textId="77777777" w:rsidTr="00FD24AD">
        <w:tc>
          <w:tcPr>
            <w:tcW w:w="9520" w:type="dxa"/>
          </w:tcPr>
          <w:p w14:paraId="35EFFCCE" w14:textId="64DFBA30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dyskryminacyjnych w ocenie kondycji finansowej przedsiębiorstwa (modele T. Korola, T. Maślanki oraz A. Hołdy – wariant modeli sektorowych).</w:t>
            </w:r>
          </w:p>
        </w:tc>
      </w:tr>
      <w:tr w:rsidR="00260CAB" w:rsidRPr="009C54AE" w14:paraId="46EBA714" w14:textId="77777777" w:rsidTr="00FD24AD">
        <w:tc>
          <w:tcPr>
            <w:tcW w:w="9520" w:type="dxa"/>
          </w:tcPr>
          <w:p w14:paraId="30B911C6" w14:textId="13AB7F8F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metod logitowych w ocenie kondycji finansowej przedsiębiorstwa (modele M. Gruszczyńskiego, R. Jagiełło oraz A. Hołdy – wariant modeli sektorowych).</w:t>
            </w:r>
          </w:p>
        </w:tc>
      </w:tr>
      <w:tr w:rsidR="00260CAB" w:rsidRPr="009C54AE" w14:paraId="0EF1D39C" w14:textId="77777777" w:rsidTr="00213D65">
        <w:tc>
          <w:tcPr>
            <w:tcW w:w="9520" w:type="dxa"/>
          </w:tcPr>
          <w:p w14:paraId="59759569" w14:textId="58A48651" w:rsidR="00260CAB" w:rsidRPr="009C54AE" w:rsidRDefault="00260CAB" w:rsidP="00260C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72C62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PKO BP.</w:t>
            </w:r>
          </w:p>
        </w:tc>
      </w:tr>
      <w:tr w:rsidR="00260CAB" w:rsidRPr="009C54AE" w14:paraId="04CB46F8" w14:textId="77777777" w:rsidTr="00213D65">
        <w:tc>
          <w:tcPr>
            <w:tcW w:w="9520" w:type="dxa"/>
          </w:tcPr>
          <w:p w14:paraId="6E4FC1D0" w14:textId="36327A94" w:rsidR="00260CAB" w:rsidRPr="00260CAB" w:rsidRDefault="00260CAB" w:rsidP="00260CAB">
            <w:pPr>
              <w:suppressAutoHyphens/>
              <w:autoSpaceDE w:val="0"/>
              <w:autoSpaceDN w:val="0"/>
              <w:spacing w:after="0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60CAB">
              <w:rPr>
                <w:rFonts w:ascii="Corbel" w:hAnsi="Corbel" w:cs="Corbel"/>
                <w:sz w:val="24"/>
                <w:szCs w:val="24"/>
              </w:rPr>
              <w:t>Zastosowanie zmodyfikowanej punktowej metody oceny kondycji finansowej – na przykładzie metody Banku Ochrony Środowiska S.A.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289E4611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F2B9F0" w14:textId="0863C94B" w:rsidR="00260CAB" w:rsidRPr="009C54AE" w:rsidRDefault="00260CA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60CAB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260CAB">
        <w:rPr>
          <w:rFonts w:ascii="Corbel" w:hAnsi="Corbel"/>
          <w:b w:val="0"/>
          <w:smallCaps w:val="0"/>
          <w:szCs w:val="24"/>
        </w:rPr>
        <w:t>metody kształcenia na odległość</w:t>
      </w:r>
    </w:p>
    <w:p w14:paraId="1A481286" w14:textId="1AFE0E06" w:rsidR="00BC1C6D" w:rsidRPr="00BC1C6D" w:rsidRDefault="00BC1C6D" w:rsidP="002E216F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61AB3">
        <w:rPr>
          <w:rFonts w:ascii="Corbel" w:hAnsi="Corbel"/>
          <w:b w:val="0"/>
          <w:smallCaps w:val="0"/>
          <w:szCs w:val="24"/>
        </w:rPr>
        <w:t xml:space="preserve">Ćwiczenia: </w:t>
      </w:r>
      <w:r w:rsidR="002E216F" w:rsidRPr="002E216F">
        <w:rPr>
          <w:rFonts w:ascii="Corbel" w:hAnsi="Corbel"/>
          <w:b w:val="0"/>
          <w:smallCaps w:val="0"/>
          <w:szCs w:val="24"/>
        </w:rPr>
        <w:t>analiza tekstów z dyskusją, metoda projektów (</w:t>
      </w:r>
      <w:r w:rsidR="00260CAB">
        <w:rPr>
          <w:rFonts w:ascii="Corbel" w:hAnsi="Corbel"/>
          <w:b w:val="0"/>
          <w:smallCaps w:val="0"/>
          <w:szCs w:val="24"/>
        </w:rPr>
        <w:t xml:space="preserve">projekt </w:t>
      </w:r>
      <w:r w:rsidR="002E216F" w:rsidRPr="002E216F">
        <w:rPr>
          <w:rFonts w:ascii="Corbel" w:hAnsi="Corbel"/>
          <w:b w:val="0"/>
          <w:smallCaps w:val="0"/>
          <w:szCs w:val="24"/>
        </w:rPr>
        <w:t>praktyczny), praca w grupach (rozwiązywanie zadań, dyskusja),</w:t>
      </w:r>
      <w:r w:rsidR="002E216F">
        <w:rPr>
          <w:rFonts w:ascii="Corbel" w:hAnsi="Corbel"/>
          <w:b w:val="0"/>
          <w:smallCaps w:val="0"/>
          <w:szCs w:val="24"/>
        </w:rPr>
        <w:t xml:space="preserve"> </w:t>
      </w:r>
      <w:r w:rsidR="002E216F" w:rsidRPr="002E216F">
        <w:rPr>
          <w:rFonts w:ascii="Corbel" w:hAnsi="Corbel"/>
          <w:b w:val="0"/>
          <w:smallCaps w:val="0"/>
          <w:szCs w:val="24"/>
        </w:rPr>
        <w:t>gry dydaktyczne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60CAB" w:rsidRPr="00161AB3" w14:paraId="43E59ED9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C5332" w14:textId="6FAB08D2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9506169" w14:textId="0F9BFE1D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3BB5AE1F" w14:textId="66DEA50F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6A60C268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BE87" w14:textId="1C565C9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C9916C2" w14:textId="72488CBC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480B08E3" w14:textId="51DE000B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260CAB" w:rsidRPr="00161AB3" w14:paraId="5133D730" w14:textId="77777777" w:rsidTr="00FC6ECB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F6BC" w14:textId="3E307A99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91D8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621C53CD" w14:textId="433A2AAF" w:rsidR="00260CAB" w:rsidRPr="002E216F" w:rsidRDefault="00260CAB" w:rsidP="00260CAB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73C7C094" w14:textId="521E9416" w:rsidR="00260CAB" w:rsidRPr="00F24FFC" w:rsidRDefault="00260CAB" w:rsidP="00260C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72C62">
              <w:rPr>
                <w:rFonts w:ascii="Corbel" w:hAnsi="Corbel" w:cs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19CDA2B8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 xml:space="preserve">co najmniej </w:t>
            </w:r>
            <w:r w:rsidR="002E216F">
              <w:rPr>
                <w:rFonts w:ascii="Corbel" w:hAnsi="Corbel"/>
                <w:sz w:val="24"/>
                <w:szCs w:val="24"/>
              </w:rPr>
              <w:t>2</w:t>
            </w:r>
            <w:r w:rsidRPr="00161AB3">
              <w:rPr>
                <w:rFonts w:ascii="Corbel" w:hAnsi="Corbel"/>
                <w:sz w:val="24"/>
                <w:szCs w:val="24"/>
              </w:rPr>
              <w:t xml:space="preserve"> kolokwium,</w:t>
            </w:r>
          </w:p>
          <w:p w14:paraId="715002DC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161AB3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1AB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161AB3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1AB3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720DC7B2" w:rsidR="0085747A" w:rsidRPr="009C54AE" w:rsidRDefault="002E216F" w:rsidP="00152F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Warunkiem zdania </w:t>
            </w:r>
            <w:r w:rsidRPr="002E216F">
              <w:rPr>
                <w:rFonts w:ascii="Corbel" w:hAnsi="Corbel"/>
                <w:b w:val="0"/>
                <w:smallCaps w:val="0"/>
                <w:szCs w:val="24"/>
              </w:rPr>
              <w:t>egzaminu jest poprawne rozwiązanie trzech spośród pięciu zadań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0D45B17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216FEE21" w:rsidR="00D45B17" w:rsidRPr="009C54AE" w:rsidRDefault="00D412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D45B17" w:rsidRPr="009C54AE" w14:paraId="14748C99" w14:textId="77777777" w:rsidTr="00D45B17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1D1E8493" w:rsidR="00D45B17" w:rsidRPr="009C54AE" w:rsidRDefault="00260CA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9C54AE" w14:paraId="41367D30" w14:textId="77777777" w:rsidTr="00D45B17">
        <w:tc>
          <w:tcPr>
            <w:tcW w:w="4902" w:type="dxa"/>
          </w:tcPr>
          <w:p w14:paraId="4F573F09" w14:textId="648EEDEC" w:rsidR="00D45B17" w:rsidRPr="009C54AE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- </w:t>
            </w:r>
            <w:r w:rsidR="00BD7024">
              <w:rPr>
                <w:rFonts w:ascii="Corbel" w:hAnsi="Corbel"/>
                <w:sz w:val="24"/>
                <w:szCs w:val="24"/>
              </w:rPr>
              <w:t>1</w:t>
            </w:r>
            <w:r w:rsidR="002370E2">
              <w:rPr>
                <w:rFonts w:ascii="Corbel" w:hAnsi="Corbel"/>
                <w:sz w:val="24"/>
                <w:szCs w:val="24"/>
              </w:rPr>
              <w:t>5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52FBC">
              <w:rPr>
                <w:rFonts w:ascii="Corbel" w:hAnsi="Corbel"/>
                <w:sz w:val="24"/>
                <w:szCs w:val="24"/>
              </w:rPr>
              <w:t>zaliczenia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2370E2">
              <w:rPr>
                <w:rFonts w:ascii="Corbel" w:hAnsi="Corbel"/>
                <w:sz w:val="24"/>
                <w:szCs w:val="24"/>
              </w:rPr>
              <w:t>1</w:t>
            </w:r>
            <w:r w:rsidR="00260CAB">
              <w:rPr>
                <w:rFonts w:ascii="Corbel" w:hAnsi="Corbel"/>
                <w:sz w:val="24"/>
                <w:szCs w:val="24"/>
              </w:rPr>
              <w:t>9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napisanie </w:t>
            </w:r>
            <w:r w:rsidR="00152FBC">
              <w:rPr>
                <w:rFonts w:ascii="Corbel" w:hAnsi="Corbel"/>
                <w:sz w:val="24"/>
                <w:szCs w:val="24"/>
              </w:rPr>
              <w:t>pracy zaliczeniowej</w:t>
            </w:r>
            <w:r w:rsidR="00CE66E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152FBC">
              <w:rPr>
                <w:rFonts w:ascii="Corbel" w:hAnsi="Corbel"/>
                <w:sz w:val="24"/>
                <w:szCs w:val="24"/>
              </w:rPr>
              <w:t>6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3C9D1C98" w:rsidR="00D45B17" w:rsidRPr="009C54AE" w:rsidRDefault="00D412F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D45B17" w:rsidRPr="009C54AE" w14:paraId="45A3E8D7" w14:textId="77777777" w:rsidTr="00D45B17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EFA7120" w:rsidR="00D45B17" w:rsidRPr="00D45B17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9C54AE" w14:paraId="761AF2EE" w14:textId="77777777" w:rsidTr="00D45B17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4BC2E9BE" w:rsidR="00D45B17" w:rsidRPr="009C54AE" w:rsidRDefault="00AD51B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85F0D" w:rsidRPr="00372C62" w14:paraId="3BAEBC30" w14:textId="77777777" w:rsidTr="00785F0D">
        <w:trPr>
          <w:trHeight w:val="397"/>
        </w:trPr>
        <w:tc>
          <w:tcPr>
            <w:tcW w:w="9639" w:type="dxa"/>
          </w:tcPr>
          <w:p w14:paraId="7991D9D7" w14:textId="77777777" w:rsidR="00785F0D" w:rsidRPr="00785F0D" w:rsidRDefault="00785F0D" w:rsidP="000701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B5F042A" w14:textId="77777777" w:rsidR="00785F0D" w:rsidRPr="00785F0D" w:rsidRDefault="00785F0D" w:rsidP="00785F0D">
            <w:pPr>
              <w:pStyle w:val="Punktygwne"/>
              <w:numPr>
                <w:ilvl w:val="0"/>
                <w:numId w:val="13"/>
              </w:numPr>
              <w:suppressAutoHyphens/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przedsiębiorstwa. Wyd. Uniwersytetu Rzeszowskiego, Rzeszów 2015.</w:t>
            </w:r>
          </w:p>
          <w:p w14:paraId="340463DF" w14:textId="77777777" w:rsidR="00785F0D" w:rsidRPr="00785F0D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sz w:val="24"/>
                <w:szCs w:val="24"/>
              </w:rPr>
              <w:t>Bławat F., Drajska E., Figura P., Gawrycka M., Korol T., Prusak B.,  Analiza finansowa przedsiębiorstwa.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85F0D">
              <w:rPr>
                <w:rFonts w:ascii="Corbel" w:hAnsi="Corbel"/>
                <w:sz w:val="24"/>
                <w:szCs w:val="24"/>
              </w:rPr>
              <w:t>Finansowanie, inwestycje, wartość, syntetyczna, ocena kondycji finansowe</w:t>
            </w:r>
            <w:r>
              <w:rPr>
                <w:rFonts w:ascii="Corbel" w:hAnsi="Corbel"/>
                <w:sz w:val="24"/>
                <w:szCs w:val="24"/>
              </w:rPr>
              <w:t>j</w:t>
            </w:r>
            <w:r w:rsidRPr="00785F0D">
              <w:rPr>
                <w:rFonts w:ascii="Corbel" w:hAnsi="Corbel"/>
                <w:sz w:val="24"/>
                <w:szCs w:val="24"/>
              </w:rPr>
              <w:t>. CeDeWu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785F0D">
              <w:rPr>
                <w:rFonts w:ascii="Corbel" w:hAnsi="Corbel"/>
                <w:sz w:val="24"/>
                <w:szCs w:val="24"/>
              </w:rPr>
              <w:t xml:space="preserve"> Warszawa 2017.</w:t>
            </w:r>
          </w:p>
          <w:p w14:paraId="22E73BDD" w14:textId="77777777" w:rsidR="00785F0D" w:rsidRPr="0054659E" w:rsidRDefault="00785F0D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785F0D">
              <w:rPr>
                <w:rFonts w:ascii="Corbel" w:hAnsi="Corbel"/>
                <w:color w:val="000000"/>
                <w:sz w:val="24"/>
                <w:szCs w:val="24"/>
              </w:rPr>
              <w:t>Lichota W</w:t>
            </w:r>
            <w:r w:rsidRPr="0054659E">
              <w:rPr>
                <w:rFonts w:ascii="Corbel" w:hAnsi="Corbel"/>
                <w:color w:val="000000"/>
                <w:sz w:val="24"/>
                <w:szCs w:val="24"/>
              </w:rPr>
              <w:t>., Polskie specjalne strefy ekonomiczne - Efekty finansowe, Wydawnictwo Wyższej Szkoły Biznesu i Przedsiębiorczości w Ostrowcu Świętokrzyskim, Ostrowiec Świętokrzyski 2019</w:t>
            </w:r>
          </w:p>
          <w:p w14:paraId="372FB13A" w14:textId="29524BC4" w:rsidR="0054659E" w:rsidRPr="00785F0D" w:rsidRDefault="0054659E" w:rsidP="00785F0D">
            <w:pPr>
              <w:pStyle w:val="Akapitzlist"/>
              <w:numPr>
                <w:ilvl w:val="0"/>
                <w:numId w:val="13"/>
              </w:numPr>
              <w:rPr>
                <w:rFonts w:ascii="Corbel" w:hAnsi="Corbel"/>
                <w:color w:val="000000"/>
                <w:sz w:val="24"/>
                <w:szCs w:val="24"/>
              </w:rPr>
            </w:pPr>
            <w:r w:rsidRPr="0054659E">
              <w:rPr>
                <w:rFonts w:ascii="Corbel" w:hAnsi="Corbel"/>
                <w:bCs/>
                <w:sz w:val="24"/>
                <w:szCs w:val="24"/>
              </w:rPr>
              <w:t>Lichota W., Rabiej E., Pitera R., Analiza finansowa przedsiębiorstw wybranych sektorów ze szczególnym uwzględnieniem zagrożenia upadłością, CeDeWu, Warszawa 2021.</w:t>
            </w:r>
          </w:p>
        </w:tc>
      </w:tr>
      <w:tr w:rsidR="00785F0D" w:rsidRPr="00372C62" w14:paraId="4A5A4054" w14:textId="77777777" w:rsidTr="00785F0D">
        <w:trPr>
          <w:trHeight w:val="397"/>
        </w:trPr>
        <w:tc>
          <w:tcPr>
            <w:tcW w:w="9639" w:type="dxa"/>
          </w:tcPr>
          <w:p w14:paraId="3976472B" w14:textId="77777777" w:rsidR="00785F0D" w:rsidRPr="00785F0D" w:rsidRDefault="00785F0D" w:rsidP="000701FD">
            <w:pPr>
              <w:pStyle w:val="Punktygwne"/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9950C46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Antonowicz P., Metody oceny i prognoza kondycji ekonomiczno-finansowej przedsiębiorstw. ODiDK, Gdańsk 2007.</w:t>
            </w:r>
          </w:p>
          <w:p w14:paraId="36049021" w14:textId="0D4ADE5B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 w:cs="Corbel"/>
                <w:b w:val="0"/>
                <w:bCs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Korol T., Systemy ostrzegania przedsiębiorstw przed ryzykiem upadłości. Oficyna Wolters Kluwer business, Warszawa 2010</w:t>
            </w:r>
            <w:r>
              <w:rPr>
                <w:rFonts w:ascii="Corbel" w:hAnsi="Corbel" w:cs="Corbel"/>
                <w:b w:val="0"/>
                <w:bCs/>
                <w:smallCaps w:val="0"/>
                <w:szCs w:val="24"/>
              </w:rPr>
              <w:t>.</w:t>
            </w:r>
          </w:p>
          <w:p w14:paraId="681A0C64" w14:textId="77777777" w:rsidR="00785F0D" w:rsidRPr="00785F0D" w:rsidRDefault="00785F0D" w:rsidP="00785F0D">
            <w:pPr>
              <w:pStyle w:val="Punktygwne"/>
              <w:numPr>
                <w:ilvl w:val="0"/>
                <w:numId w:val="1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5F0D">
              <w:rPr>
                <w:rFonts w:ascii="Corbel" w:hAnsi="Corbel" w:cs="Corbel"/>
                <w:b w:val="0"/>
                <w:bCs/>
                <w:smallCaps w:val="0"/>
                <w:szCs w:val="24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056470" w14:textId="77777777" w:rsidR="008E2CA4" w:rsidRDefault="008E2CA4" w:rsidP="00C16ABF">
      <w:pPr>
        <w:spacing w:after="0" w:line="240" w:lineRule="auto"/>
      </w:pPr>
      <w:r>
        <w:separator/>
      </w:r>
    </w:p>
  </w:endnote>
  <w:endnote w:type="continuationSeparator" w:id="0">
    <w:p w14:paraId="7DFA7F76" w14:textId="77777777" w:rsidR="008E2CA4" w:rsidRDefault="008E2CA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6B94F" w14:textId="77777777" w:rsidR="008E2CA4" w:rsidRDefault="008E2CA4" w:rsidP="00C16ABF">
      <w:pPr>
        <w:spacing w:after="0" w:line="240" w:lineRule="auto"/>
      </w:pPr>
      <w:r>
        <w:separator/>
      </w:r>
    </w:p>
  </w:footnote>
  <w:footnote w:type="continuationSeparator" w:id="0">
    <w:p w14:paraId="318A5CD5" w14:textId="77777777" w:rsidR="008E2CA4" w:rsidRDefault="008E2CA4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5BCE70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orbel" w:eastAsia="Calibri" w:hAnsi="Corbel" w:cs="Corbel"/>
        <w:b w:val="0"/>
        <w:bCs/>
        <w:caps w:val="0"/>
        <w:smallCaps w:val="0"/>
        <w:sz w:val="22"/>
      </w:rPr>
    </w:lvl>
  </w:abstractNum>
  <w:abstractNum w:abstractNumId="1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7165C"/>
    <w:multiLevelType w:val="hybridMultilevel"/>
    <w:tmpl w:val="18026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106E16"/>
    <w:multiLevelType w:val="multilevel"/>
    <w:tmpl w:val="1054C01A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1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"/>
  </w:num>
  <w:num w:numId="4">
    <w:abstractNumId w:val="7"/>
  </w:num>
  <w:num w:numId="5">
    <w:abstractNumId w:val="5"/>
  </w:num>
  <w:num w:numId="6">
    <w:abstractNumId w:val="6"/>
  </w:num>
  <w:num w:numId="7">
    <w:abstractNumId w:val="13"/>
  </w:num>
  <w:num w:numId="8">
    <w:abstractNumId w:val="9"/>
  </w:num>
  <w:num w:numId="9">
    <w:abstractNumId w:val="4"/>
  </w:num>
  <w:num w:numId="10">
    <w:abstractNumId w:val="3"/>
  </w:num>
  <w:num w:numId="11">
    <w:abstractNumId w:val="11"/>
  </w:num>
  <w:num w:numId="12">
    <w:abstractNumId w:val="10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ABB"/>
    <w:rsid w:val="000755C2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70E2"/>
    <w:rsid w:val="0024028F"/>
    <w:rsid w:val="002431CD"/>
    <w:rsid w:val="00244ABC"/>
    <w:rsid w:val="00254F4B"/>
    <w:rsid w:val="00257BBF"/>
    <w:rsid w:val="00260CAB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395F"/>
    <w:rsid w:val="00305C92"/>
    <w:rsid w:val="00306A02"/>
    <w:rsid w:val="003151C5"/>
    <w:rsid w:val="003343CF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7ACA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4659E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476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140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5F0D"/>
    <w:rsid w:val="00787C2A"/>
    <w:rsid w:val="00790E27"/>
    <w:rsid w:val="0079595F"/>
    <w:rsid w:val="007A4022"/>
    <w:rsid w:val="007A6E6E"/>
    <w:rsid w:val="007C3299"/>
    <w:rsid w:val="007C3BCC"/>
    <w:rsid w:val="007C4546"/>
    <w:rsid w:val="007D435D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2CA4"/>
    <w:rsid w:val="008E64F4"/>
    <w:rsid w:val="008F12C9"/>
    <w:rsid w:val="008F6E29"/>
    <w:rsid w:val="00916188"/>
    <w:rsid w:val="00923D7D"/>
    <w:rsid w:val="00937B94"/>
    <w:rsid w:val="00946B94"/>
    <w:rsid w:val="009508DF"/>
    <w:rsid w:val="00950DAC"/>
    <w:rsid w:val="00954A07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15909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40C"/>
    <w:rsid w:val="00A82F66"/>
    <w:rsid w:val="00A84C85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AF63B8"/>
    <w:rsid w:val="00B06142"/>
    <w:rsid w:val="00B10D15"/>
    <w:rsid w:val="00B10FAF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1B0C"/>
    <w:rsid w:val="00D26B2C"/>
    <w:rsid w:val="00D352C9"/>
    <w:rsid w:val="00D412F8"/>
    <w:rsid w:val="00D425B2"/>
    <w:rsid w:val="00D428D6"/>
    <w:rsid w:val="00D45B17"/>
    <w:rsid w:val="00D552B2"/>
    <w:rsid w:val="00D608D1"/>
    <w:rsid w:val="00D6094C"/>
    <w:rsid w:val="00D74119"/>
    <w:rsid w:val="00D8075B"/>
    <w:rsid w:val="00D8678B"/>
    <w:rsid w:val="00DA2114"/>
    <w:rsid w:val="00DA6057"/>
    <w:rsid w:val="00DC6D0C"/>
    <w:rsid w:val="00DE09C0"/>
    <w:rsid w:val="00DE1323"/>
    <w:rsid w:val="00DE4A14"/>
    <w:rsid w:val="00DF320D"/>
    <w:rsid w:val="00DF71C8"/>
    <w:rsid w:val="00E129B8"/>
    <w:rsid w:val="00E1719D"/>
    <w:rsid w:val="00E21E7D"/>
    <w:rsid w:val="00E22FBC"/>
    <w:rsid w:val="00E2320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2EB2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D5F0E-508F-48B0-A3A1-24D5EBD4A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E5A6E9-BC12-4B21-A723-F6CBB9955A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14A53C-2D92-430D-ADF9-912D9D1B7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AAE4AE-40F9-4515-B1B5-69E3BC62D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1147</Words>
  <Characters>6883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18</cp:revision>
  <cp:lastPrinted>2019-02-06T12:12:00Z</cp:lastPrinted>
  <dcterms:created xsi:type="dcterms:W3CDTF">2020-10-26T21:43:00Z</dcterms:created>
  <dcterms:modified xsi:type="dcterms:W3CDTF">2021-11-04T09:17:00Z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